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64EA" w14:textId="3FE55BCE" w:rsidR="00421CF7" w:rsidRDefault="00421CF7" w:rsidP="334FE194">
      <w:r>
        <w:t>This is the facet as documented in Part 84.  As you can see, we only mandated SKS PubSub Key Management and SKS PubSub Model Push.</w:t>
      </w:r>
    </w:p>
    <w:p w14:paraId="27764F08" w14:textId="173C4DE8" w:rsidR="00421CF7" w:rsidRDefault="00421CF7" w:rsidP="00421CF7">
      <w:r>
        <w:rPr>
          <w:noProof/>
        </w:rPr>
        <w:drawing>
          <wp:inline distT="0" distB="0" distL="0" distR="0" wp14:anchorId="74C690A4" wp14:editId="731F6A42">
            <wp:extent cx="5943600" cy="1805305"/>
            <wp:effectExtent l="0" t="0" r="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05305"/>
                    </a:xfrm>
                    <a:prstGeom prst="rect">
                      <a:avLst/>
                    </a:prstGeom>
                    <a:noFill/>
                    <a:ln>
                      <a:noFill/>
                    </a:ln>
                  </pic:spPr>
                </pic:pic>
              </a:graphicData>
            </a:graphic>
          </wp:inline>
        </w:drawing>
      </w:r>
    </w:p>
    <w:p w14:paraId="00C2C093" w14:textId="77777777" w:rsidR="00421CF7" w:rsidRDefault="00421CF7" w:rsidP="00421CF7"/>
    <w:p w14:paraId="4A6272A3" w14:textId="77777777" w:rsidR="00421CF7" w:rsidRDefault="00421CF7" w:rsidP="00421CF7">
      <w:pPr>
        <w:rPr>
          <w:b/>
          <w:bCs/>
          <w:sz w:val="28"/>
          <w:szCs w:val="28"/>
          <w:u w:val="single"/>
        </w:rPr>
      </w:pPr>
      <w:r>
        <w:rPr>
          <w:b/>
          <w:bCs/>
          <w:sz w:val="28"/>
          <w:szCs w:val="28"/>
          <w:u w:val="single"/>
        </w:rPr>
        <w:t>Problem #1</w:t>
      </w:r>
    </w:p>
    <w:p w14:paraId="3DD4A9A3" w14:textId="77777777" w:rsidR="00421CF7" w:rsidRDefault="00421CF7" w:rsidP="00421CF7">
      <w:r>
        <w:t>The SKS PubSub Key Management CU says this:</w:t>
      </w:r>
    </w:p>
    <w:p w14:paraId="227CB007" w14:textId="15827006" w:rsidR="00421CF7" w:rsidRDefault="00421CF7" w:rsidP="00421CF7">
      <w:r>
        <w:rPr>
          <w:noProof/>
        </w:rPr>
        <w:drawing>
          <wp:inline distT="0" distB="0" distL="0" distR="0" wp14:anchorId="00A7D0FA" wp14:editId="7D287E4E">
            <wp:extent cx="5943600" cy="356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870"/>
                    </a:xfrm>
                    <a:prstGeom prst="rect">
                      <a:avLst/>
                    </a:prstGeom>
                    <a:noFill/>
                    <a:ln>
                      <a:noFill/>
                    </a:ln>
                  </pic:spPr>
                </pic:pic>
              </a:graphicData>
            </a:graphic>
          </wp:inline>
        </w:drawing>
      </w:r>
    </w:p>
    <w:p w14:paraId="2479BFE8" w14:textId="77777777" w:rsidR="00421CF7" w:rsidRDefault="00421CF7" w:rsidP="00421CF7"/>
    <w:p w14:paraId="6DC3E612" w14:textId="35808806" w:rsidR="00421CF7" w:rsidRDefault="00421CF7" w:rsidP="00421CF7">
      <w:commentRangeStart w:id="0"/>
      <w:commentRangeStart w:id="1"/>
      <w:commentRangeStart w:id="2"/>
      <w:r>
        <w:t>SKS PubSub Key Management is mandatory</w:t>
      </w:r>
      <w:commentRangeEnd w:id="0"/>
      <w:r w:rsidR="0088305E">
        <w:rPr>
          <w:rStyle w:val="CommentReference"/>
        </w:rPr>
        <w:commentReference w:id="0"/>
      </w:r>
      <w:commentRangeEnd w:id="1"/>
      <w:r w:rsidR="00747207">
        <w:rPr>
          <w:rStyle w:val="CommentReference"/>
        </w:rPr>
        <w:commentReference w:id="1"/>
      </w:r>
      <w:commentRangeEnd w:id="2"/>
      <w:r w:rsidR="000F381F">
        <w:rPr>
          <w:rStyle w:val="CommentReference"/>
        </w:rPr>
        <w:commentReference w:id="2"/>
      </w:r>
      <w:r>
        <w:t xml:space="preserve">, but the SecurityGroupType is pulled in through SKS PubSub Model which is optional.  </w:t>
      </w:r>
    </w:p>
    <w:p w14:paraId="0F5E22A0" w14:textId="77777777" w:rsidR="00421CF7" w:rsidRDefault="00421CF7" w:rsidP="00421CF7"/>
    <w:p w14:paraId="2962FEC3" w14:textId="1721ABE6" w:rsidR="00421CF7" w:rsidRDefault="00421CF7" w:rsidP="00421CF7">
      <w:r>
        <w:rPr>
          <w:noProof/>
        </w:rPr>
        <w:drawing>
          <wp:inline distT="0" distB="0" distL="0" distR="0" wp14:anchorId="4108C1CA" wp14:editId="291148C6">
            <wp:extent cx="5943600" cy="2091690"/>
            <wp:effectExtent l="0" t="0" r="0" b="381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91690"/>
                    </a:xfrm>
                    <a:prstGeom prst="rect">
                      <a:avLst/>
                    </a:prstGeom>
                    <a:noFill/>
                    <a:ln>
                      <a:noFill/>
                    </a:ln>
                  </pic:spPr>
                </pic:pic>
              </a:graphicData>
            </a:graphic>
          </wp:inline>
        </w:drawing>
      </w:r>
    </w:p>
    <w:p w14:paraId="55D43FE0" w14:textId="562186E4" w:rsidR="00421CF7" w:rsidRDefault="00421CF7" w:rsidP="00421CF7">
      <w:pPr>
        <w:rPr>
          <w:b/>
          <w:bCs/>
          <w:sz w:val="28"/>
          <w:szCs w:val="28"/>
          <w:u w:val="single"/>
        </w:rPr>
      </w:pPr>
      <w:r>
        <w:t xml:space="preserve">I think we have two options to fix this issue; </w:t>
      </w:r>
      <w:commentRangeStart w:id="3"/>
      <w:commentRangeStart w:id="4"/>
      <w:r>
        <w:t xml:space="preserve">create a new CU </w:t>
      </w:r>
      <w:commentRangeEnd w:id="3"/>
      <w:r w:rsidR="006D371B">
        <w:rPr>
          <w:rStyle w:val="CommentReference"/>
        </w:rPr>
        <w:commentReference w:id="3"/>
      </w:r>
      <w:commentRangeEnd w:id="4"/>
      <w:r w:rsidR="004B554A">
        <w:rPr>
          <w:rStyle w:val="CommentReference"/>
        </w:rPr>
        <w:commentReference w:id="4"/>
      </w:r>
      <w:r>
        <w:t xml:space="preserve">that specifically calls out support for the </w:t>
      </w:r>
      <w:commentRangeStart w:id="5"/>
      <w:r>
        <w:t>SecurityGroupType</w:t>
      </w:r>
      <w:commentRangeEnd w:id="5"/>
      <w:r w:rsidR="00D126FD">
        <w:rPr>
          <w:rStyle w:val="CommentReference"/>
        </w:rPr>
        <w:commentReference w:id="5"/>
      </w:r>
      <w:r>
        <w:t xml:space="preserve">, or just make PubSub Model SKS mandatory.  </w:t>
      </w:r>
      <w:commentRangeStart w:id="6"/>
      <w:r>
        <w:t xml:space="preserve">Making PubSub Model SKS mandatory </w:t>
      </w:r>
      <w:commentRangeEnd w:id="6"/>
      <w:r w:rsidR="003655D5">
        <w:rPr>
          <w:rStyle w:val="CommentReference"/>
        </w:rPr>
        <w:commentReference w:id="6"/>
      </w:r>
      <w:r>
        <w:t>then has the effect of bringing in one other type (SecurityGoupFolderType) that we did not want to require.  However in looking at the types, instances of SecurityGroupType probably belong in folders of SecurityGoupFolderType.</w:t>
      </w:r>
    </w:p>
    <w:p w14:paraId="57C25AC8" w14:textId="77777777" w:rsidR="00421CF7" w:rsidRDefault="00421CF7" w:rsidP="00421CF7">
      <w:pPr>
        <w:rPr>
          <w:b/>
          <w:bCs/>
          <w:sz w:val="28"/>
          <w:szCs w:val="28"/>
          <w:u w:val="single"/>
        </w:rPr>
      </w:pPr>
    </w:p>
    <w:p w14:paraId="4AA367B0" w14:textId="77777777" w:rsidR="00421CF7" w:rsidRDefault="00421CF7" w:rsidP="00421CF7">
      <w:pPr>
        <w:rPr>
          <w:b/>
          <w:bCs/>
          <w:sz w:val="28"/>
          <w:szCs w:val="28"/>
          <w:u w:val="single"/>
        </w:rPr>
      </w:pPr>
      <w:r>
        <w:rPr>
          <w:b/>
          <w:bCs/>
          <w:sz w:val="28"/>
          <w:szCs w:val="28"/>
          <w:u w:val="single"/>
        </w:rPr>
        <w:t>Problem #2</w:t>
      </w:r>
    </w:p>
    <w:p w14:paraId="79CDB9AE" w14:textId="77777777" w:rsidR="00421CF7" w:rsidRDefault="00421CF7" w:rsidP="00421CF7">
      <w:r>
        <w:t>During our discussions on SKS behavior we agreed that we did not want to require controllers to act as a general purpose SKS for the whole network.  It is analogous to having a CM on the controller that works to establish its own connections, but not all connections.  We made SKS PubSub Model Push mandatory thinking that this was the correct CU to specify this behavior.  The CU states the following:</w:t>
      </w:r>
    </w:p>
    <w:p w14:paraId="645933E2" w14:textId="77777777" w:rsidR="00421CF7" w:rsidRDefault="00421CF7" w:rsidP="00421CF7"/>
    <w:p w14:paraId="4D283FB0" w14:textId="003DB073" w:rsidR="00421CF7" w:rsidRDefault="00421CF7" w:rsidP="00421CF7">
      <w:r>
        <w:rPr>
          <w:noProof/>
        </w:rPr>
        <w:lastRenderedPageBreak/>
        <w:drawing>
          <wp:inline distT="0" distB="0" distL="0" distR="0" wp14:anchorId="07FF3A5B" wp14:editId="264A020F">
            <wp:extent cx="5943600"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3550"/>
                    </a:xfrm>
                    <a:prstGeom prst="rect">
                      <a:avLst/>
                    </a:prstGeom>
                    <a:noFill/>
                    <a:ln>
                      <a:noFill/>
                    </a:ln>
                  </pic:spPr>
                </pic:pic>
              </a:graphicData>
            </a:graphic>
          </wp:inline>
        </w:drawing>
      </w:r>
    </w:p>
    <w:p w14:paraId="1C2033EF" w14:textId="77777777" w:rsidR="00421CF7" w:rsidRDefault="00421CF7" w:rsidP="00421CF7"/>
    <w:p w14:paraId="1A750801" w14:textId="3D532DBE" w:rsidR="00421CF7" w:rsidRDefault="00421CF7" w:rsidP="00421CF7">
      <w:commentRangeStart w:id="7"/>
      <w:commentRangeStart w:id="8"/>
      <w:r>
        <w:t xml:space="preserve">Unfortunately, the PubSubPushTargetFolderType specifies the AddPushTarget and RemovePushTarget methods as mandatory.  </w:t>
      </w:r>
      <w:commentRangeEnd w:id="7"/>
      <w:r w:rsidR="00BE37F1">
        <w:rPr>
          <w:rStyle w:val="CommentReference"/>
        </w:rPr>
        <w:commentReference w:id="7"/>
      </w:r>
      <w:commentRangeEnd w:id="8"/>
      <w:r w:rsidR="00A15930">
        <w:rPr>
          <w:rStyle w:val="CommentReference"/>
        </w:rPr>
        <w:commentReference w:id="8"/>
      </w:r>
      <w:r>
        <w:t>This effectively would open the controller to be a general SKS if exposed.</w:t>
      </w:r>
    </w:p>
    <w:p w14:paraId="16C0E056" w14:textId="2F715E71" w:rsidR="00421CF7" w:rsidRDefault="00421CF7" w:rsidP="00421CF7">
      <w:r>
        <w:rPr>
          <w:noProof/>
        </w:rPr>
        <w:drawing>
          <wp:inline distT="0" distB="0" distL="0" distR="0" wp14:anchorId="656E5713" wp14:editId="3BE3DBBB">
            <wp:extent cx="5943600" cy="1999615"/>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999615"/>
                    </a:xfrm>
                    <a:prstGeom prst="rect">
                      <a:avLst/>
                    </a:prstGeom>
                    <a:noFill/>
                    <a:ln>
                      <a:noFill/>
                    </a:ln>
                  </pic:spPr>
                </pic:pic>
              </a:graphicData>
            </a:graphic>
          </wp:inline>
        </w:drawing>
      </w:r>
    </w:p>
    <w:p w14:paraId="006B1225" w14:textId="77777777" w:rsidR="00421CF7" w:rsidRDefault="00421CF7" w:rsidP="00421CF7"/>
    <w:p w14:paraId="26A3D32F" w14:textId="40439A81" w:rsidR="00421CF7" w:rsidRDefault="00421CF7" w:rsidP="00421CF7">
      <w:commentRangeStart w:id="9"/>
      <w:commentRangeStart w:id="10"/>
      <w:commentRangeStart w:id="11"/>
      <w:r>
        <w:rPr>
          <w:u w:val="single"/>
        </w:rPr>
        <w:t>My proposed solution</w:t>
      </w:r>
      <w:r>
        <w:t xml:space="preserve"> </w:t>
      </w:r>
      <w:commentRangeEnd w:id="11"/>
      <w:r w:rsidR="000F249C">
        <w:rPr>
          <w:rStyle w:val="CommentReference"/>
        </w:rPr>
        <w:commentReference w:id="11"/>
      </w:r>
      <w:r>
        <w:t>here is to convince the PubSub WG to change these to Optional.  That would allow controllers to support the folder type without exposing the methods.</w:t>
      </w:r>
      <w:commentRangeEnd w:id="9"/>
      <w:r w:rsidR="00540FF2">
        <w:rPr>
          <w:rStyle w:val="CommentReference"/>
        </w:rPr>
        <w:commentReference w:id="9"/>
      </w:r>
      <w:commentRangeEnd w:id="10"/>
      <w:r w:rsidR="00812D61">
        <w:rPr>
          <w:rStyle w:val="CommentReference"/>
        </w:rPr>
        <w:commentReference w:id="10"/>
      </w:r>
    </w:p>
    <w:p w14:paraId="75E97F53" w14:textId="77777777" w:rsidR="00421CF7" w:rsidRDefault="00421CF7" w:rsidP="00421CF7"/>
    <w:p w14:paraId="19C682E9" w14:textId="77777777" w:rsidR="00421CF7" w:rsidRDefault="00421CF7" w:rsidP="00421CF7">
      <w:pPr>
        <w:rPr>
          <w:b/>
          <w:bCs/>
          <w:sz w:val="28"/>
          <w:szCs w:val="28"/>
          <w:u w:val="single"/>
        </w:rPr>
      </w:pPr>
      <w:r>
        <w:rPr>
          <w:b/>
          <w:bCs/>
          <w:sz w:val="28"/>
          <w:szCs w:val="28"/>
          <w:u w:val="single"/>
        </w:rPr>
        <w:t>Problem #3</w:t>
      </w:r>
    </w:p>
    <w:p w14:paraId="6F98E827" w14:textId="3B0E9A1B" w:rsidR="00421CF7" w:rsidRDefault="00421CF7" w:rsidP="00421CF7">
      <w:r>
        <w:t>The last problem deals with other text in SKS PubSub Model Push.  It states that the SKS will invoke the SetSecurityKeys Method on the target.  It is not clear to me that we have required support for that method anywhere.  The Method is part of the PublishSubscribeType as optional.</w:t>
      </w:r>
    </w:p>
    <w:p w14:paraId="580F1342" w14:textId="64A0CFCC" w:rsidR="00421CF7" w:rsidRDefault="00421CF7" w:rsidP="00421CF7">
      <w:r>
        <w:rPr>
          <w:noProof/>
        </w:rPr>
        <w:drawing>
          <wp:inline distT="0" distB="0" distL="0" distR="0" wp14:anchorId="550F5F93" wp14:editId="4AEF97D6">
            <wp:extent cx="5943600" cy="370586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05860"/>
                    </a:xfrm>
                    <a:prstGeom prst="rect">
                      <a:avLst/>
                    </a:prstGeom>
                    <a:noFill/>
                    <a:ln>
                      <a:noFill/>
                    </a:ln>
                  </pic:spPr>
                </pic:pic>
              </a:graphicData>
            </a:graphic>
          </wp:inline>
        </w:drawing>
      </w:r>
    </w:p>
    <w:p w14:paraId="5562A4D1" w14:textId="3DAD26BF" w:rsidR="00421CF7" w:rsidRDefault="00421CF7" w:rsidP="00421CF7">
      <w:r>
        <w:lastRenderedPageBreak/>
        <w:t xml:space="preserve">There is no PubSub Model Base CU in the tool, so it is not clear how this type is pulled in.  </w:t>
      </w:r>
      <w:commentRangeStart w:id="12"/>
      <w:commentRangeStart w:id="13"/>
      <w:commentRangeStart w:id="14"/>
      <w:r>
        <w:t xml:space="preserve">It is clear that this type should be supported by any implementation that supports PubSub, but I am not sure we have that covered.  And since the method is optional, we would need a separate CU for that anyway.  </w:t>
      </w:r>
      <w:r>
        <w:rPr>
          <w:u w:val="single"/>
        </w:rPr>
        <w:t>My proposed solution</w:t>
      </w:r>
      <w:r>
        <w:t xml:space="preserve"> is to write a new CU for support of the SetSecurityKeys and this would be required on all UAFX implementations.</w:t>
      </w:r>
      <w:commentRangeEnd w:id="12"/>
      <w:r w:rsidR="00FF36A5">
        <w:rPr>
          <w:rStyle w:val="CommentReference"/>
        </w:rPr>
        <w:commentReference w:id="12"/>
      </w:r>
      <w:commentRangeEnd w:id="13"/>
      <w:r w:rsidR="00E268D1">
        <w:rPr>
          <w:rStyle w:val="CommentReference"/>
        </w:rPr>
        <w:commentReference w:id="13"/>
      </w:r>
      <w:commentRangeEnd w:id="14"/>
      <w:r w:rsidR="00E776E5">
        <w:rPr>
          <w:rStyle w:val="CommentReference"/>
        </w:rPr>
        <w:commentReference w:id="14"/>
      </w:r>
    </w:p>
    <w:p w14:paraId="4459B799" w14:textId="77777777" w:rsidR="00421CF7" w:rsidRDefault="00421CF7" w:rsidP="00421CF7"/>
    <w:p w14:paraId="40E541F9" w14:textId="77777777" w:rsidR="00421CF7" w:rsidRDefault="00421CF7" w:rsidP="00421CF7"/>
    <w:p w14:paraId="3620BBAF" w14:textId="77777777" w:rsidR="00421CF7" w:rsidRDefault="00421CF7" w:rsidP="00421CF7"/>
    <w:p w14:paraId="20CCF454" w14:textId="77777777" w:rsidR="00421CF7" w:rsidRDefault="00421CF7" w:rsidP="00421CF7"/>
    <w:p w14:paraId="71C6067D" w14:textId="77777777" w:rsidR="00421CF7" w:rsidRDefault="00421CF7" w:rsidP="00421CF7"/>
    <w:p w14:paraId="54F3F0A8" w14:textId="77777777" w:rsidR="00421CF7" w:rsidRDefault="00421CF7" w:rsidP="00421CF7"/>
    <w:p w14:paraId="60D4DDF6" w14:textId="77777777" w:rsidR="00CC2CA3" w:rsidRDefault="00CC2CA3"/>
    <w:sectPr w:rsidR="00CC2C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 Batke" w:date="2022-08-12T11:21:00Z" w:initials="BB">
    <w:p w14:paraId="3C9E14F4" w14:textId="77777777" w:rsidR="0088305E" w:rsidRDefault="0088305E">
      <w:pPr>
        <w:pStyle w:val="CommentText"/>
      </w:pPr>
      <w:r>
        <w:rPr>
          <w:rStyle w:val="CommentReference"/>
        </w:rPr>
        <w:annotationRef/>
      </w:r>
      <w:r w:rsidR="00F213F6">
        <w:t>I would question whether this needs to be Mandatory. The controller/SKS should know when a device is n</w:t>
      </w:r>
      <w:r w:rsidR="009507E5">
        <w:t>o longer needed, and would then remove keys or rotate as needed (if shared).</w:t>
      </w:r>
      <w:r w:rsidR="00727CA8">
        <w:t xml:space="preserve"> I will ask Jack about what he &amp; security WG thinks</w:t>
      </w:r>
    </w:p>
    <w:p w14:paraId="0AC77553" w14:textId="77777777" w:rsidR="00F1441E" w:rsidRDefault="00F1441E">
      <w:pPr>
        <w:pStyle w:val="CommentText"/>
      </w:pPr>
    </w:p>
    <w:p w14:paraId="3FE29036" w14:textId="4D6BD1E0" w:rsidR="00F1441E" w:rsidRDefault="00F1441E">
      <w:pPr>
        <w:pStyle w:val="CommentText"/>
      </w:pPr>
      <w:r>
        <w:t xml:space="preserve">Update: Jack </w:t>
      </w:r>
      <w:r w:rsidR="009C339C">
        <w:t>also doesn’t think</w:t>
      </w:r>
      <w:r w:rsidR="00D36649">
        <w:t xml:space="preserve"> </w:t>
      </w:r>
      <w:r w:rsidR="00702B23">
        <w:t xml:space="preserve">the </w:t>
      </w:r>
      <w:r w:rsidR="003F1678">
        <w:t>Invalidate and Force methods would be required of a controller/SKS combo</w:t>
      </w:r>
    </w:p>
  </w:comment>
  <w:comment w:id="1" w:author="Greg A Majcher" w:date="2022-08-31T07:54:00Z" w:initials="GM">
    <w:p w14:paraId="604DA97C" w14:textId="77777777" w:rsidR="00747207" w:rsidRDefault="00747207" w:rsidP="009C3302">
      <w:pPr>
        <w:pStyle w:val="CommentText"/>
      </w:pPr>
      <w:r>
        <w:rPr>
          <w:rStyle w:val="CommentReference"/>
        </w:rPr>
        <w:annotationRef/>
      </w:r>
      <w:r>
        <w:t>This would be a separate issue because I think the other information in SecurityGroupType is needed.  So the root of the issue is that SecurityGroupType was optional and I think it needs to be mandatory.</w:t>
      </w:r>
    </w:p>
  </w:comment>
  <w:comment w:id="2" w:author="Greg A Majcher [2]" w:date="2022-08-31T10:38:00Z" w:initials="GM">
    <w:p w14:paraId="217857C5" w14:textId="77777777" w:rsidR="005612D1" w:rsidRDefault="000F381F">
      <w:pPr>
        <w:pStyle w:val="CommentText"/>
      </w:pPr>
      <w:r>
        <w:rPr>
          <w:rStyle w:val="CommentReference"/>
        </w:rPr>
        <w:annotationRef/>
      </w:r>
      <w:r w:rsidR="005612D1">
        <w:t>DECISION: PubSub Key Management should be made optional.</w:t>
      </w:r>
    </w:p>
    <w:p w14:paraId="3CDC007E" w14:textId="77777777" w:rsidR="005612D1" w:rsidRDefault="005612D1" w:rsidP="00D45C5C">
      <w:pPr>
        <w:pStyle w:val="CommentText"/>
      </w:pPr>
      <w:r>
        <w:t>Decided in the 8/31/22 AWG meeting.</w:t>
      </w:r>
    </w:p>
  </w:comment>
  <w:comment w:id="3" w:author="Gregory" w:date="2022-08-10T16:44:00Z" w:initials="G">
    <w:p w14:paraId="464C3C38" w14:textId="77777777" w:rsidR="006D371B" w:rsidRDefault="006D371B" w:rsidP="006D371B">
      <w:pPr>
        <w:pStyle w:val="CommentText"/>
      </w:pPr>
      <w:r>
        <w:rPr>
          <w:rStyle w:val="CommentReference"/>
        </w:rPr>
        <w:annotationRef/>
      </w:r>
      <w:r>
        <w:t>Top level object support (</w:t>
      </w:r>
      <w:r>
        <w:rPr>
          <w:lang w:val="en-GB"/>
        </w:rPr>
        <w:t>PubSubKeyServiceType) with support of the GetSecurityGroup</w:t>
      </w:r>
    </w:p>
  </w:comment>
  <w:comment w:id="4" w:author="Kenneth Lee" w:date="2022-08-15T09:40:00Z" w:initials="KL">
    <w:p w14:paraId="7BDE9EA2" w14:textId="02604CEB" w:rsidR="004B554A" w:rsidRDefault="004B554A">
      <w:pPr>
        <w:pStyle w:val="CommentText"/>
      </w:pPr>
      <w:r>
        <w:rPr>
          <w:rStyle w:val="CommentReference"/>
        </w:rPr>
        <w:annotationRef/>
      </w:r>
      <w:r>
        <w:t>Not so clear how/whether this would bring in the support of SeucirityGroupType.</w:t>
      </w:r>
      <w:r>
        <w:br/>
      </w:r>
      <w:r>
        <w:br/>
        <w:t>In any case, this options seems cleaner/less side effects than the second option.</w:t>
      </w:r>
    </w:p>
  </w:comment>
  <w:comment w:id="5" w:author="Greg A Majcher [3]" w:date="2022-08-31T10:51:00Z" w:initials="GM">
    <w:p w14:paraId="42E11259" w14:textId="77777777" w:rsidR="00713265" w:rsidRDefault="00D126FD">
      <w:pPr>
        <w:pStyle w:val="CommentText"/>
      </w:pPr>
      <w:r>
        <w:rPr>
          <w:rStyle w:val="CommentReference"/>
        </w:rPr>
        <w:annotationRef/>
      </w:r>
      <w:r w:rsidR="00713265">
        <w:t>The SecurityGroupType type does not need to be exposed, but the controller (on the SKS side) must have the implementation.</w:t>
      </w:r>
    </w:p>
    <w:p w14:paraId="4F89C0B0" w14:textId="77777777" w:rsidR="00713265" w:rsidRDefault="00713265">
      <w:pPr>
        <w:pStyle w:val="CommentText"/>
      </w:pPr>
    </w:p>
    <w:p w14:paraId="72B21067" w14:textId="77777777" w:rsidR="00713265" w:rsidRDefault="00713265">
      <w:pPr>
        <w:pStyle w:val="CommentText"/>
      </w:pPr>
      <w:r>
        <w:t>DECISION: The functionality of SecurityGroupType must be supported, but the type does not need to be exposed in the information model.</w:t>
      </w:r>
    </w:p>
    <w:p w14:paraId="52DA9ACF" w14:textId="77777777" w:rsidR="00713265" w:rsidRDefault="00713265" w:rsidP="004F5D6F">
      <w:pPr>
        <w:pStyle w:val="CommentText"/>
      </w:pPr>
      <w:r>
        <w:t>Decided in the 8/31/22 AWG meeting.</w:t>
      </w:r>
    </w:p>
  </w:comment>
  <w:comment w:id="6" w:author="Georg H. Biehler" w:date="2022-08-05T07:38:00Z" w:initials="BG(FTAS">
    <w:p w14:paraId="516FBB1C" w14:textId="1E83801A" w:rsidR="00D01147" w:rsidRDefault="003655D5">
      <w:pPr>
        <w:pStyle w:val="CommentText"/>
      </w:pPr>
      <w:r>
        <w:rPr>
          <w:rStyle w:val="CommentReference"/>
        </w:rPr>
        <w:annotationRef/>
      </w:r>
      <w:r w:rsidR="007001D3">
        <w:t xml:space="preserve">Making the model mandatory would have the effectr, that the SKS is exposed in the information model. </w:t>
      </w:r>
      <w:r w:rsidR="00502B4E">
        <w:t>W</w:t>
      </w:r>
      <w:r w:rsidR="007001D3">
        <w:t xml:space="preserve">e made </w:t>
      </w:r>
      <w:r w:rsidR="00502B4E">
        <w:t xml:space="preserve">the exposure of the PubSub model optional for a controller. </w:t>
      </w:r>
    </w:p>
    <w:p w14:paraId="408E3D2B" w14:textId="77777777" w:rsidR="00BE37F1" w:rsidRDefault="00D01147">
      <w:pPr>
        <w:pStyle w:val="CommentText"/>
      </w:pPr>
      <w:r>
        <w:t>If we want to keep that</w:t>
      </w:r>
      <w:r w:rsidR="000853C6">
        <w:t>,</w:t>
      </w:r>
      <w:r w:rsidR="00502B4E">
        <w:t xml:space="preserve"> we </w:t>
      </w:r>
      <w:r>
        <w:t>have to find</w:t>
      </w:r>
      <w:r w:rsidR="00502B4E">
        <w:t xml:space="preserve"> a solution as not to expose the objects, but to offer the functionality.</w:t>
      </w:r>
    </w:p>
    <w:p w14:paraId="2162E6BE" w14:textId="7C694EFC" w:rsidR="003655D5" w:rsidRDefault="00BE37F1">
      <w:pPr>
        <w:pStyle w:val="CommentText"/>
      </w:pPr>
      <w:r>
        <w:t>Looks like also the SKS PubSub Model Push is wrong, since it expects the model exposed.</w:t>
      </w:r>
      <w:r w:rsidR="00507834">
        <w:t xml:space="preserve"> </w:t>
      </w:r>
      <w:r w:rsidR="00502B4E">
        <w:t xml:space="preserve"> </w:t>
      </w:r>
    </w:p>
  </w:comment>
  <w:comment w:id="7" w:author="Georg H. Biehler" w:date="2022-08-05T07:49:00Z" w:initials="BG(FTAS">
    <w:p w14:paraId="6F08110E" w14:textId="7AA8E065" w:rsidR="00BE37F1" w:rsidRDefault="00BE37F1">
      <w:pPr>
        <w:pStyle w:val="CommentText"/>
      </w:pPr>
      <w:r>
        <w:rPr>
          <w:rStyle w:val="CommentReference"/>
        </w:rPr>
        <w:annotationRef/>
      </w:r>
      <w:r>
        <w:t>Again, as my comment above, exposing the model will add complexity. We need to offer the functionality</w:t>
      </w:r>
      <w:r w:rsidR="00B40A45">
        <w:t xml:space="preserve">, </w:t>
      </w:r>
      <w:r>
        <w:t>configure</w:t>
      </w:r>
      <w:r w:rsidR="00B40A45">
        <w:t xml:space="preserve"> it</w:t>
      </w:r>
      <w:r>
        <w:t xml:space="preserve"> through our </w:t>
      </w:r>
      <w:r w:rsidR="00B40A45">
        <w:t>EstablishConnections interface and by that having control over what is being configured (</w:t>
      </w:r>
      <w:r w:rsidR="00E14034">
        <w:t>no general purpose).</w:t>
      </w:r>
    </w:p>
  </w:comment>
  <w:comment w:id="8" w:author="Kenneth Lee" w:date="2022-08-15T10:58:00Z" w:initials="KL">
    <w:p w14:paraId="6BB437A1" w14:textId="4162104E" w:rsidR="00A15930" w:rsidRDefault="00A15930">
      <w:pPr>
        <w:pStyle w:val="CommentText"/>
      </w:pPr>
      <w:r>
        <w:rPr>
          <w:rStyle w:val="CommentReference"/>
        </w:rPr>
        <w:annotationRef/>
      </w:r>
      <w:r>
        <w:t xml:space="preserve">Wasn’t there a workaround that this method exists but roles (for the methods) are such that no external clients can use the method? Could this be an option? </w:t>
      </w:r>
    </w:p>
  </w:comment>
  <w:comment w:id="11" w:author="Greg A Majcher [4]" w:date="2022-08-31T10:53:00Z" w:initials="GM">
    <w:p w14:paraId="42BE4FEF" w14:textId="77777777" w:rsidR="00CE3F82" w:rsidRDefault="000F249C">
      <w:pPr>
        <w:pStyle w:val="CommentText"/>
      </w:pPr>
      <w:r>
        <w:rPr>
          <w:rStyle w:val="CommentReference"/>
        </w:rPr>
        <w:annotationRef/>
      </w:r>
      <w:r w:rsidR="00CE3F82">
        <w:t>Write new CU that says, "The SKS pushes security keys to targets by invoking the SetSecurityKeys Method on the target."</w:t>
      </w:r>
    </w:p>
    <w:p w14:paraId="1A0D538D" w14:textId="77777777" w:rsidR="00CE3F82" w:rsidRDefault="00CE3F82">
      <w:pPr>
        <w:pStyle w:val="CommentText"/>
      </w:pPr>
    </w:p>
    <w:p w14:paraId="0C4B05E4" w14:textId="77777777" w:rsidR="00CE3F82" w:rsidRDefault="00CE3F82">
      <w:pPr>
        <w:pStyle w:val="CommentText"/>
      </w:pPr>
      <w:r>
        <w:t>DECISION:  We will create this new CU, make it mandatory, and make PubSub Model SKS Push optional.</w:t>
      </w:r>
    </w:p>
    <w:p w14:paraId="2F0429E6" w14:textId="77777777" w:rsidR="00CE3F82" w:rsidRDefault="00CE3F82" w:rsidP="00CC73A1">
      <w:pPr>
        <w:pStyle w:val="CommentText"/>
      </w:pPr>
      <w:r>
        <w:t>Decided in the 8/31/22 AWG meeting.</w:t>
      </w:r>
    </w:p>
  </w:comment>
  <w:comment w:id="9" w:author="Brian Batke" w:date="2022-08-04T09:12:00Z" w:initials="BB">
    <w:p w14:paraId="7AFFE5FD" w14:textId="377C948C" w:rsidR="00540FF2" w:rsidRDefault="00540FF2">
      <w:pPr>
        <w:pStyle w:val="CommentText"/>
      </w:pPr>
      <w:r>
        <w:rPr>
          <w:rStyle w:val="CommentReference"/>
        </w:rPr>
        <w:annotationRef/>
      </w:r>
      <w:r w:rsidR="005D5EC3">
        <w:t>Are we able to create a new facet that overrides the Mandatory rule in Part 14? Or is that not allowed for UA?</w:t>
      </w:r>
    </w:p>
    <w:p w14:paraId="656D5786" w14:textId="77777777" w:rsidR="00826804" w:rsidRDefault="00826804">
      <w:pPr>
        <w:pStyle w:val="CommentText"/>
      </w:pPr>
    </w:p>
    <w:p w14:paraId="374D7B60" w14:textId="77777777" w:rsidR="00826804" w:rsidRDefault="005F3DCA">
      <w:pPr>
        <w:pStyle w:val="CommentText"/>
      </w:pPr>
      <w:r>
        <w:t>Or, alternatively, could we create another CU</w:t>
      </w:r>
      <w:r w:rsidR="00CC2CA3">
        <w:t xml:space="preserve"> that requires pushing keys, but without supporting the KeyPushTargetFolderType?</w:t>
      </w:r>
    </w:p>
    <w:p w14:paraId="604103B1" w14:textId="77777777" w:rsidR="007F7F89" w:rsidRDefault="007F7F89">
      <w:pPr>
        <w:pStyle w:val="CommentText"/>
      </w:pPr>
    </w:p>
    <w:p w14:paraId="65611796" w14:textId="6162751D" w:rsidR="007F7F89" w:rsidRDefault="00831115">
      <w:pPr>
        <w:pStyle w:val="CommentText"/>
      </w:pPr>
      <w:r>
        <w:t xml:space="preserve">Or, </w:t>
      </w:r>
      <w:r w:rsidR="006D264F">
        <w:t>change the SKS</w:t>
      </w:r>
      <w:r w:rsidR="0022438B">
        <w:t xml:space="preserve"> ModelPush CU to </w:t>
      </w:r>
      <w:r w:rsidR="00085FB9">
        <w:t>not require the PushTargets folder (or make a new CU for that). Maybe that is essentially what I said in the previous paragraph.</w:t>
      </w:r>
    </w:p>
  </w:comment>
  <w:comment w:id="10" w:author="Georg H. Biehler" w:date="2022-08-05T08:07:00Z" w:initials="BG(FTAS">
    <w:p w14:paraId="6E003722" w14:textId="1AE63209" w:rsidR="00812D61" w:rsidRDefault="00812D61">
      <w:pPr>
        <w:pStyle w:val="CommentText"/>
      </w:pPr>
      <w:r>
        <w:rPr>
          <w:rStyle w:val="CommentReference"/>
        </w:rPr>
        <w:annotationRef/>
      </w:r>
      <w:r>
        <w:t>Mandatory cannot be overwritten by a facet. Facet allows only to make optional things mandatory</w:t>
      </w:r>
      <w:r w:rsidR="00A47801">
        <w:t>.</w:t>
      </w:r>
    </w:p>
  </w:comment>
  <w:comment w:id="12" w:author="Georg H. Biehler" w:date="2022-08-05T07:55:00Z" w:initials="BG(FTAS">
    <w:p w14:paraId="4A249D43" w14:textId="77777777" w:rsidR="003C3E9C" w:rsidRDefault="00FF36A5">
      <w:pPr>
        <w:pStyle w:val="CommentText"/>
      </w:pPr>
      <w:r>
        <w:rPr>
          <w:rStyle w:val="CommentReference"/>
        </w:rPr>
        <w:annotationRef/>
      </w:r>
      <w:r w:rsidR="00DB2102">
        <w:t xml:space="preserve">As we need to support on one hand a way to set the security keys, </w:t>
      </w:r>
      <w:r w:rsidR="00663C13">
        <w:t>a UAFX implementation has to expose this object and has to support the SetSecurityKeys mandatory.</w:t>
      </w:r>
    </w:p>
    <w:p w14:paraId="50D7E0A5" w14:textId="77777777" w:rsidR="00FF36A5" w:rsidRDefault="003C3E9C">
      <w:pPr>
        <w:pStyle w:val="CommentText"/>
      </w:pPr>
      <w:r>
        <w:t xml:space="preserve">However, on the other hand, we didn’t want to force a UAFX implementation to expose the </w:t>
      </w:r>
      <w:r w:rsidR="00025281">
        <w:t>PubSub configuration model</w:t>
      </w:r>
      <w:r w:rsidR="00C45E46">
        <w:t xml:space="preserve"> …</w:t>
      </w:r>
      <w:r w:rsidR="00FF36A5">
        <w:t xml:space="preserve"> </w:t>
      </w:r>
    </w:p>
    <w:p w14:paraId="44A51C04" w14:textId="77777777" w:rsidR="002C63AF" w:rsidRDefault="002C63AF">
      <w:pPr>
        <w:pStyle w:val="CommentText"/>
      </w:pPr>
    </w:p>
    <w:p w14:paraId="7D0F8071" w14:textId="2A300AB3" w:rsidR="00C45E46" w:rsidRDefault="00C45E46">
      <w:pPr>
        <w:pStyle w:val="CommentText"/>
      </w:pPr>
      <w:r>
        <w:t xml:space="preserve">Means that we have to </w:t>
      </w:r>
      <w:r w:rsidR="00DE0370">
        <w:t>mandate</w:t>
      </w:r>
      <w:r w:rsidR="002C63AF">
        <w:t xml:space="preserve"> </w:t>
      </w:r>
      <w:r>
        <w:t xml:space="preserve">this object (the top level object of the </w:t>
      </w:r>
      <w:r w:rsidR="00584251">
        <w:t>PubSub configuration model). For our facet, the SetSecurityKeys would be mandatory</w:t>
      </w:r>
      <w:r w:rsidR="00D257AF">
        <w:t xml:space="preserve">, all optional stay optional. The </w:t>
      </w:r>
      <w:r w:rsidR="0075053A">
        <w:t xml:space="preserve">mandatory </w:t>
      </w:r>
      <w:r w:rsidR="00CC5F23">
        <w:t>PublishedDataSets (DataSetFolder with only optionals) could be kept “empty”</w:t>
      </w:r>
      <w:r w:rsidR="00070692">
        <w:t xml:space="preserve">. The SupportedTransportProfiles and the Status </w:t>
      </w:r>
      <w:r w:rsidR="00A84796">
        <w:t>need to</w:t>
      </w:r>
      <w:r w:rsidR="00070692">
        <w:t xml:space="preserve"> be exposed.</w:t>
      </w:r>
    </w:p>
    <w:p w14:paraId="5946037A" w14:textId="77777777" w:rsidR="00812D61" w:rsidRDefault="00812D61">
      <w:pPr>
        <w:pStyle w:val="CommentText"/>
      </w:pPr>
    </w:p>
    <w:p w14:paraId="0F8DBBF7" w14:textId="1DC52941" w:rsidR="00F9164A" w:rsidRDefault="00F9164A">
      <w:pPr>
        <w:pStyle w:val="CommentText"/>
      </w:pPr>
      <w:r>
        <w:t xml:space="preserve">All other things (e.g. connections </w:t>
      </w:r>
      <w:r w:rsidR="00DA61DF">
        <w:t>…) do not need to be exposed.</w:t>
      </w:r>
    </w:p>
  </w:comment>
  <w:comment w:id="13" w:author="Kenneth Lee" w:date="2022-08-15T11:24:00Z" w:initials="KL">
    <w:p w14:paraId="08AD1932" w14:textId="21A9D3DC" w:rsidR="00E268D1" w:rsidRDefault="00E268D1">
      <w:pPr>
        <w:pStyle w:val="CommentText"/>
      </w:pPr>
      <w:r>
        <w:rPr>
          <w:rStyle w:val="CommentReference"/>
        </w:rPr>
        <w:annotationRef/>
      </w:r>
      <w:r>
        <w:t xml:space="preserve">It seems like are specific CUs available as RC. Can we use these? </w:t>
      </w:r>
      <w:r>
        <w:br/>
      </w:r>
      <w:r>
        <w:br/>
      </w:r>
      <w:hyperlink r:id="rId1" w:history="1">
        <w:r>
          <w:rPr>
            <w:rStyle w:val="Hyperlink"/>
          </w:rPr>
          <w:t>Conformance Unit PubSub Publisher SetSecurityKeys (opcfoundation.org)</w:t>
        </w:r>
      </w:hyperlink>
      <w:r>
        <w:br/>
      </w:r>
      <w:hyperlink r:id="rId2" w:history="1">
        <w:r>
          <w:rPr>
            <w:rStyle w:val="Hyperlink"/>
          </w:rPr>
          <w:t>Conformance Unit PubSub Subscriber SetSecurityKeys (opcfoundation.org)</w:t>
        </w:r>
      </w:hyperlink>
      <w:r>
        <w:br/>
      </w:r>
      <w:r>
        <w:br/>
      </w:r>
      <w:r>
        <w:br/>
      </w:r>
    </w:p>
  </w:comment>
  <w:comment w:id="14" w:author="Brian Batke" w:date="2022-08-16T09:19:00Z" w:initials="BB">
    <w:p w14:paraId="2D343352" w14:textId="77777777" w:rsidR="00E776E5" w:rsidRDefault="00E776E5">
      <w:pPr>
        <w:pStyle w:val="CommentText"/>
      </w:pPr>
      <w:r>
        <w:rPr>
          <w:rStyle w:val="CommentReference"/>
        </w:rPr>
        <w:annotationRef/>
      </w:r>
      <w:r>
        <w:t xml:space="preserve">Ken, those CUs are already in the controller profile. So on the </w:t>
      </w:r>
      <w:r w:rsidR="009D2929">
        <w:t>target (non-SKS) side, I think</w:t>
      </w:r>
      <w:r w:rsidR="004B06E8">
        <w:t xml:space="preserve"> that is covered.</w:t>
      </w:r>
    </w:p>
    <w:p w14:paraId="3FF6D85F" w14:textId="77777777" w:rsidR="004B06E8" w:rsidRDefault="004B06E8">
      <w:pPr>
        <w:pStyle w:val="CommentText"/>
      </w:pPr>
    </w:p>
    <w:p w14:paraId="1D0B84DE" w14:textId="622F10F5" w:rsidR="004B06E8" w:rsidRDefault="004B06E8">
      <w:pPr>
        <w:pStyle w:val="CommentText"/>
      </w:pPr>
      <w:r>
        <w:t xml:space="preserve">However, I think Greg has a point that </w:t>
      </w:r>
      <w:r w:rsidR="00DD2CD9">
        <w:t>there is no CU that would pu</w:t>
      </w:r>
      <w:r w:rsidR="0092759C">
        <w:t xml:space="preserve">ll in the </w:t>
      </w:r>
      <w:r w:rsidR="00A133D5">
        <w:t>PublishSubscribeType</w:t>
      </w:r>
      <w:r w:rsidR="002732CC">
        <w:t>. Then</w:t>
      </w:r>
      <w:r w:rsidR="00304103">
        <w:t xml:space="preserve"> again, we have said that we are not mandating that </w:t>
      </w:r>
      <w:r w:rsidR="009777B5">
        <w:t xml:space="preserve">the PubSub config model </w:t>
      </w:r>
      <w:r w:rsidR="00863B18">
        <w:t>be exposed</w:t>
      </w:r>
      <w:r w:rsidR="00773E37">
        <w:t xml:space="preserve">, so per haps not needed? Except: the SetSecurityKeys method </w:t>
      </w:r>
      <w:r w:rsidR="003717D2">
        <w:t>would need the node id of the PublishSubscribe object.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29036" w15:done="0"/>
  <w15:commentEx w15:paraId="604DA97C" w15:paraIdParent="3FE29036" w15:done="0"/>
  <w15:commentEx w15:paraId="3CDC007E" w15:paraIdParent="3FE29036" w15:done="0"/>
  <w15:commentEx w15:paraId="464C3C38" w15:done="0"/>
  <w15:commentEx w15:paraId="7BDE9EA2" w15:paraIdParent="464C3C38" w15:done="0"/>
  <w15:commentEx w15:paraId="52DA9ACF" w15:done="0"/>
  <w15:commentEx w15:paraId="2162E6BE" w15:done="0"/>
  <w15:commentEx w15:paraId="6F08110E" w15:done="0"/>
  <w15:commentEx w15:paraId="6BB437A1" w15:paraIdParent="6F08110E" w15:done="0"/>
  <w15:commentEx w15:paraId="2F0429E6" w15:done="0"/>
  <w15:commentEx w15:paraId="65611796" w15:done="0"/>
  <w15:commentEx w15:paraId="6E003722" w15:paraIdParent="65611796" w15:done="0"/>
  <w15:commentEx w15:paraId="0F8DBBF7" w15:done="0"/>
  <w15:commentEx w15:paraId="08AD1932" w15:paraIdParent="0F8DBBF7" w15:done="0"/>
  <w15:commentEx w15:paraId="1D0B84DE" w15:paraIdParent="0F8DB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633" w16cex:dateUtc="2022-08-12T15:21:00Z"/>
  <w16cex:commentExtensible w16cex:durableId="26B9921C" w16cex:dateUtc="2022-08-31T11:54:00Z"/>
  <w16cex:commentExtensible w16cex:durableId="26B9B895" w16cex:dateUtc="2022-08-31T14:38:00Z"/>
  <w16cex:commentExtensible w16cex:durableId="269E5EFD" w16cex:dateUtc="2022-08-10T20:44:00Z"/>
  <w16cex:commentExtensible w16cex:durableId="26A4930E" w16cex:dateUtc="2022-08-15T13:40:00Z"/>
  <w16cex:commentExtensible w16cex:durableId="26B9BBB6" w16cex:dateUtc="2022-08-31T14:51:00Z"/>
  <w16cex:commentExtensible w16cex:durableId="2697477C" w16cex:dateUtc="2022-08-05T05:38:00Z"/>
  <w16cex:commentExtensible w16cex:durableId="26974A02" w16cex:dateUtc="2022-08-05T05:49:00Z"/>
  <w16cex:commentExtensible w16cex:durableId="26A4A567" w16cex:dateUtc="2022-08-15T14:58:00Z"/>
  <w16cex:commentExtensible w16cex:durableId="26B9BC36" w16cex:dateUtc="2022-08-31T14:53:00Z"/>
  <w16cex:commentExtensible w16cex:durableId="26960C07" w16cex:dateUtc="2022-08-04T13:12:00Z"/>
  <w16cex:commentExtensible w16cex:durableId="26974E3A" w16cex:dateUtc="2022-08-05T06:07:00Z"/>
  <w16cex:commentExtensible w16cex:durableId="26974B67" w16cex:dateUtc="2022-08-05T05:55:00Z"/>
  <w16cex:commentExtensible w16cex:durableId="26A4AB73" w16cex:dateUtc="2022-08-15T15:24:00Z"/>
  <w16cex:commentExtensible w16cex:durableId="26A5DFB9" w16cex:dateUtc="2022-08-1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29036" w16cid:durableId="26A0B633"/>
  <w16cid:commentId w16cid:paraId="604DA97C" w16cid:durableId="26B9921C"/>
  <w16cid:commentId w16cid:paraId="3CDC007E" w16cid:durableId="26B9B895"/>
  <w16cid:commentId w16cid:paraId="464C3C38" w16cid:durableId="269E5EFD"/>
  <w16cid:commentId w16cid:paraId="7BDE9EA2" w16cid:durableId="26A4930E"/>
  <w16cid:commentId w16cid:paraId="52DA9ACF" w16cid:durableId="26B9BBB6"/>
  <w16cid:commentId w16cid:paraId="2162E6BE" w16cid:durableId="2697477C"/>
  <w16cid:commentId w16cid:paraId="6F08110E" w16cid:durableId="26974A02"/>
  <w16cid:commentId w16cid:paraId="6BB437A1" w16cid:durableId="26A4A567"/>
  <w16cid:commentId w16cid:paraId="2F0429E6" w16cid:durableId="26B9BC36"/>
  <w16cid:commentId w16cid:paraId="65611796" w16cid:durableId="26960C07"/>
  <w16cid:commentId w16cid:paraId="6E003722" w16cid:durableId="26974E3A"/>
  <w16cid:commentId w16cid:paraId="0F8DBBF7" w16cid:durableId="26974B67"/>
  <w16cid:commentId w16cid:paraId="08AD1932" w16cid:durableId="26A4AB73"/>
  <w16cid:commentId w16cid:paraId="1D0B84DE" w16cid:durableId="26A5DF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Batke">
    <w15:presenceInfo w15:providerId="AD" w15:userId="S::babatke@rockwellautomation.com::7b0d4bb8-63e0-4452-b728-0bffd42d65ee"/>
  </w15:person>
  <w15:person w15:author="Greg A Majcher">
    <w15:presenceInfo w15:providerId="AD" w15:userId="S::gamajcher@rockwellautomation.com::e9a6c3c6-c402-40c0-bdbe-1d82efc3f1ad"/>
  </w15:person>
  <w15:person w15:author="Greg A Majcher [2]">
    <w15:presenceInfo w15:providerId="AD" w15:userId="S::gamajcher@rockwellautomation.com::e9a6c3c6-c402-40c0-bdbe-1d82efc3f1ad"/>
  </w15:person>
  <w15:person w15:author="Gregory">
    <w15:presenceInfo w15:providerId="AD" w15:userId="S::gamajcher@rockwellautomation.com::e9a6c3c6-c402-40c0-bdbe-1d82efc3f1ad"/>
  </w15:person>
  <w15:person w15:author="Kenneth Lee">
    <w15:presenceInfo w15:providerId="AD" w15:userId="S::SESA30699@se.com::a3004ff2-e465-4b39-ae91-646cca1dc968"/>
  </w15:person>
  <w15:person w15:author="Greg A Majcher [3]">
    <w15:presenceInfo w15:providerId="AD" w15:userId="S::gamajcher@rockwellautomation.com::e9a6c3c6-c402-40c0-bdbe-1d82efc3f1ad"/>
  </w15:person>
  <w15:person w15:author="Georg H. Biehler">
    <w15:presenceInfo w15:providerId="AD" w15:userId="S::georg.biehler@siemens.com::44f14d68-b340-4837-adf2-ef3f38ac741f"/>
  </w15:person>
  <w15:person w15:author="Greg A Majcher [4]">
    <w15:presenceInfo w15:providerId="AD" w15:userId="S::gamajcher@rockwellautomation.com::e9a6c3c6-c402-40c0-bdbe-1d82efc3f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F7"/>
    <w:rsid w:val="00025281"/>
    <w:rsid w:val="00026853"/>
    <w:rsid w:val="00070692"/>
    <w:rsid w:val="000853C6"/>
    <w:rsid w:val="00085FB9"/>
    <w:rsid w:val="000C462C"/>
    <w:rsid w:val="000C5C7E"/>
    <w:rsid w:val="000F249C"/>
    <w:rsid w:val="000F381F"/>
    <w:rsid w:val="0017126A"/>
    <w:rsid w:val="00181D35"/>
    <w:rsid w:val="001A7318"/>
    <w:rsid w:val="001E3F98"/>
    <w:rsid w:val="0022438B"/>
    <w:rsid w:val="00270BCD"/>
    <w:rsid w:val="002732CC"/>
    <w:rsid w:val="002C0386"/>
    <w:rsid w:val="002C63AF"/>
    <w:rsid w:val="002F71BE"/>
    <w:rsid w:val="00302F48"/>
    <w:rsid w:val="00304103"/>
    <w:rsid w:val="003655D5"/>
    <w:rsid w:val="003717D2"/>
    <w:rsid w:val="0038004A"/>
    <w:rsid w:val="003C3E9C"/>
    <w:rsid w:val="003D4AFC"/>
    <w:rsid w:val="003F1678"/>
    <w:rsid w:val="00421CF7"/>
    <w:rsid w:val="004B06E8"/>
    <w:rsid w:val="004B554A"/>
    <w:rsid w:val="00501C09"/>
    <w:rsid w:val="00502B4E"/>
    <w:rsid w:val="00507834"/>
    <w:rsid w:val="00540FF2"/>
    <w:rsid w:val="005612D1"/>
    <w:rsid w:val="00584251"/>
    <w:rsid w:val="005D5EC3"/>
    <w:rsid w:val="005F3DCA"/>
    <w:rsid w:val="00605E82"/>
    <w:rsid w:val="006323FA"/>
    <w:rsid w:val="006427D6"/>
    <w:rsid w:val="00663C13"/>
    <w:rsid w:val="006B227D"/>
    <w:rsid w:val="006C1B82"/>
    <w:rsid w:val="006D264F"/>
    <w:rsid w:val="006D371B"/>
    <w:rsid w:val="006E577C"/>
    <w:rsid w:val="007001D3"/>
    <w:rsid w:val="00702B23"/>
    <w:rsid w:val="00713265"/>
    <w:rsid w:val="00727CA8"/>
    <w:rsid w:val="00747207"/>
    <w:rsid w:val="0075053A"/>
    <w:rsid w:val="00757FEF"/>
    <w:rsid w:val="00773E37"/>
    <w:rsid w:val="007F7F89"/>
    <w:rsid w:val="00812D61"/>
    <w:rsid w:val="00826804"/>
    <w:rsid w:val="00831115"/>
    <w:rsid w:val="00863B18"/>
    <w:rsid w:val="0088305E"/>
    <w:rsid w:val="00884635"/>
    <w:rsid w:val="00907859"/>
    <w:rsid w:val="0092759C"/>
    <w:rsid w:val="009507E5"/>
    <w:rsid w:val="00970C6C"/>
    <w:rsid w:val="009777B5"/>
    <w:rsid w:val="009C339C"/>
    <w:rsid w:val="009C6146"/>
    <w:rsid w:val="009D2929"/>
    <w:rsid w:val="00A029DC"/>
    <w:rsid w:val="00A133D5"/>
    <w:rsid w:val="00A15930"/>
    <w:rsid w:val="00A47801"/>
    <w:rsid w:val="00A84796"/>
    <w:rsid w:val="00B00880"/>
    <w:rsid w:val="00B40A45"/>
    <w:rsid w:val="00B8071A"/>
    <w:rsid w:val="00BD69AE"/>
    <w:rsid w:val="00BE37F1"/>
    <w:rsid w:val="00C45E46"/>
    <w:rsid w:val="00CC2CA3"/>
    <w:rsid w:val="00CC5F23"/>
    <w:rsid w:val="00CE3F82"/>
    <w:rsid w:val="00CF3A51"/>
    <w:rsid w:val="00D0067B"/>
    <w:rsid w:val="00D01147"/>
    <w:rsid w:val="00D03B26"/>
    <w:rsid w:val="00D126FD"/>
    <w:rsid w:val="00D257AF"/>
    <w:rsid w:val="00D33270"/>
    <w:rsid w:val="00D36649"/>
    <w:rsid w:val="00DA61DF"/>
    <w:rsid w:val="00DB2102"/>
    <w:rsid w:val="00DD2CD9"/>
    <w:rsid w:val="00DD3165"/>
    <w:rsid w:val="00DE0370"/>
    <w:rsid w:val="00E14034"/>
    <w:rsid w:val="00E268D1"/>
    <w:rsid w:val="00E5314D"/>
    <w:rsid w:val="00E776E5"/>
    <w:rsid w:val="00E8467D"/>
    <w:rsid w:val="00F1441E"/>
    <w:rsid w:val="00F213F6"/>
    <w:rsid w:val="00F9164A"/>
    <w:rsid w:val="00FB7203"/>
    <w:rsid w:val="00FF36A5"/>
    <w:rsid w:val="00FF4E4E"/>
    <w:rsid w:val="334FE194"/>
    <w:rsid w:val="485D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2687"/>
  <w15:chartTrackingRefBased/>
  <w15:docId w15:val="{8E0CC88C-FA96-4084-B992-3C3881C8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FF2"/>
    <w:rPr>
      <w:sz w:val="16"/>
      <w:szCs w:val="16"/>
    </w:rPr>
  </w:style>
  <w:style w:type="paragraph" w:styleId="CommentText">
    <w:name w:val="annotation text"/>
    <w:basedOn w:val="Normal"/>
    <w:link w:val="CommentTextChar"/>
    <w:uiPriority w:val="99"/>
    <w:unhideWhenUsed/>
    <w:rsid w:val="00540FF2"/>
    <w:rPr>
      <w:sz w:val="20"/>
      <w:szCs w:val="20"/>
    </w:rPr>
  </w:style>
  <w:style w:type="character" w:customStyle="1" w:styleId="CommentTextChar">
    <w:name w:val="Comment Text Char"/>
    <w:basedOn w:val="DefaultParagraphFont"/>
    <w:link w:val="CommentText"/>
    <w:uiPriority w:val="99"/>
    <w:rsid w:val="00540FF2"/>
    <w:rPr>
      <w:sz w:val="20"/>
      <w:szCs w:val="20"/>
    </w:rPr>
  </w:style>
  <w:style w:type="paragraph" w:styleId="CommentSubject">
    <w:name w:val="annotation subject"/>
    <w:basedOn w:val="CommentText"/>
    <w:next w:val="CommentText"/>
    <w:link w:val="CommentSubjectChar"/>
    <w:uiPriority w:val="99"/>
    <w:semiHidden/>
    <w:unhideWhenUsed/>
    <w:rsid w:val="00540FF2"/>
    <w:rPr>
      <w:b/>
      <w:bCs/>
    </w:rPr>
  </w:style>
  <w:style w:type="character" w:customStyle="1" w:styleId="CommentSubjectChar">
    <w:name w:val="Comment Subject Char"/>
    <w:basedOn w:val="CommentTextChar"/>
    <w:link w:val="CommentSubject"/>
    <w:uiPriority w:val="99"/>
    <w:semiHidden/>
    <w:rsid w:val="00540FF2"/>
    <w:rPr>
      <w:b/>
      <w:bCs/>
      <w:sz w:val="20"/>
      <w:szCs w:val="20"/>
    </w:rPr>
  </w:style>
  <w:style w:type="character" w:styleId="Hyperlink">
    <w:name w:val="Hyperlink"/>
    <w:basedOn w:val="DefaultParagraphFont"/>
    <w:uiPriority w:val="99"/>
    <w:semiHidden/>
    <w:unhideWhenUsed/>
    <w:rsid w:val="002C0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rofiles.opcfoundation.org/conformanceunit/4047" TargetMode="External"/><Relationship Id="rId1" Type="http://schemas.openxmlformats.org/officeDocument/2006/relationships/hyperlink" Target="https://profiles.opcfoundation.org/conformanceunit/404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6b9ae89-fe18-4d56-9bd1-f35bd0683a7f" xsi:nil="true"/>
    <TaxCatchAll xmlns="27d02c4f-4b43-4fd5-9a63-f3f786017993" xsi:nil="true"/>
    <lcf76f155ced4ddcb4097134ff3c332f xmlns="96b9ae89-fe18-4d56-9bd1-f35bd0683a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1E2180D3F7D4C849472C4C1DEC8CB" ma:contentTypeVersion="8" ma:contentTypeDescription="Create a new document." ma:contentTypeScope="" ma:versionID="26d357c6110561f17b4d4d6691f1b4d5">
  <xsd:schema xmlns:xsd="http://www.w3.org/2001/XMLSchema" xmlns:xs="http://www.w3.org/2001/XMLSchema" xmlns:p="http://schemas.microsoft.com/office/2006/metadata/properties" xmlns:ns2="96b9ae89-fe18-4d56-9bd1-f35bd0683a7f" xmlns:ns3="27d02c4f-4b43-4fd5-9a63-f3f786017993" targetNamespace="http://schemas.microsoft.com/office/2006/metadata/properties" ma:root="true" ma:fieldsID="b5f672d7425045e620d7b267336f27b4" ns2:_="" ns3:_="">
    <xsd:import namespace="96b9ae89-fe18-4d56-9bd1-f35bd0683a7f"/>
    <xsd:import namespace="27d02c4f-4b43-4fd5-9a63-f3f786017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9ae89-fe18-4d56-9bd1-f35bd0683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6291a5-fc6f-439c-b0f9-7a6f508a2c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02c4f-4b43-4fd5-9a63-f3f78601799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5f048e3-91d0-4cd7-a51f-90f2d9e21485}" ma:internalName="TaxCatchAll" ma:showField="CatchAllData" ma:web="27d02c4f-4b43-4fd5-9a63-f3f786017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4D14D-2E85-42A8-B0D9-03FCD31C5FC2}">
  <ds:schemaRefs>
    <ds:schemaRef ds:uri="http://schemas.microsoft.com/office/2006/metadata/properties"/>
    <ds:schemaRef ds:uri="http://schemas.microsoft.com/office/infopath/2007/PartnerControls"/>
    <ds:schemaRef ds:uri="96b9ae89-fe18-4d56-9bd1-f35bd0683a7f"/>
    <ds:schemaRef ds:uri="27d02c4f-4b43-4fd5-9a63-f3f786017993"/>
  </ds:schemaRefs>
</ds:datastoreItem>
</file>

<file path=customXml/itemProps2.xml><?xml version="1.0" encoding="utf-8"?>
<ds:datastoreItem xmlns:ds="http://schemas.openxmlformats.org/officeDocument/2006/customXml" ds:itemID="{EF6C3556-34E1-41AC-8FCD-602D7B11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9ae89-fe18-4d56-9bd1-f35bd0683a7f"/>
    <ds:schemaRef ds:uri="27d02c4f-4b43-4fd5-9a63-f3f786017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44BD9-0ACB-4079-93BA-F1ADB8AF0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342</Words>
  <Characters>1951</Characters>
  <Application>Microsoft Office Word</Application>
  <DocSecurity>0</DocSecurity>
  <Lines>16</Lines>
  <Paragraphs>4</Paragraphs>
  <ScaleCrop>false</ScaleCrop>
  <Company>Rockwell Automation</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Gregory Majcher</cp:lastModifiedBy>
  <cp:revision>63</cp:revision>
  <dcterms:created xsi:type="dcterms:W3CDTF">2022-08-03T23:33:00Z</dcterms:created>
  <dcterms:modified xsi:type="dcterms:W3CDTF">2022-08-31T18:02:00Z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0x0101008ED1E2180D3F7D4C849472C4C1DEC8CB</vt:lpwstr>
  </property>
  <property fmtid="{D5CDD505-2E9C-101B-9397-08002B2CF9AE}" pid="3" name="MediaServiceImageTags">
    <vt:lpwstr/>
  </property>
  <property fmtid="{D5CDD505-2E9C-101B-9397-08002B2CF9AE}" pid="4" name="MSIP_Label_9d258917-277f-42cd-a3cd-14c4e9ee58bc_Enabled">
    <vt:lpwstr>true</vt:lpwstr>
  </property>
  <property fmtid="{D5CDD505-2E9C-101B-9397-08002B2CF9AE}" pid="5" name="MSIP_Label_9d258917-277f-42cd-a3cd-14c4e9ee58bc_SetDate">
    <vt:lpwstr>2022-08-05T05:27:47Z</vt:lpwstr>
  </property>
  <property fmtid="{D5CDD505-2E9C-101B-9397-08002B2CF9AE}" pid="6" name="MSIP_Label_9d258917-277f-42cd-a3cd-14c4e9ee58bc_Method">
    <vt:lpwstr>Standard</vt:lpwstr>
  </property>
  <property fmtid="{D5CDD505-2E9C-101B-9397-08002B2CF9AE}" pid="7" name="MSIP_Label_9d258917-277f-42cd-a3cd-14c4e9ee58bc_Name">
    <vt:lpwstr>restricted</vt:lpwstr>
  </property>
  <property fmtid="{D5CDD505-2E9C-101B-9397-08002B2CF9AE}" pid="8" name="MSIP_Label_9d258917-277f-42cd-a3cd-14c4e9ee58bc_SiteId">
    <vt:lpwstr>38ae3bcd-9579-4fd4-adda-b42e1495d55a</vt:lpwstr>
  </property>
  <property fmtid="{D5CDD505-2E9C-101B-9397-08002B2CF9AE}" pid="9" name="MSIP_Label_9d258917-277f-42cd-a3cd-14c4e9ee58bc_ActionId">
    <vt:lpwstr>7eaec357-5707-4b4d-b8e0-f6f07616c163</vt:lpwstr>
  </property>
  <property fmtid="{D5CDD505-2E9C-101B-9397-08002B2CF9AE}" pid="10" name="MSIP_Label_9d258917-277f-42cd-a3cd-14c4e9ee58bc_ContentBits">
    <vt:lpwstr>0</vt:lpwstr>
  </property>
  <property fmtid="{D5CDD505-2E9C-101B-9397-08002B2CF9AE}" pid="11" name="Document_Confidentiality">
    <vt:lpwstr>Restricted</vt:lpwstr>
  </property>
  <property fmtid="{D5CDD505-2E9C-101B-9397-08002B2CF9AE}" pid="12" name="MSIP_Label_23f93e5f-d3c2-49a7-ba94-15405423c204_Enabled">
    <vt:lpwstr>true</vt:lpwstr>
  </property>
  <property fmtid="{D5CDD505-2E9C-101B-9397-08002B2CF9AE}" pid="13" name="MSIP_Label_23f93e5f-d3c2-49a7-ba94-15405423c204_SetDate">
    <vt:lpwstr>2022-08-15T13:00:55Z</vt:lpwstr>
  </property>
  <property fmtid="{D5CDD505-2E9C-101B-9397-08002B2CF9AE}" pid="14" name="MSIP_Label_23f93e5f-d3c2-49a7-ba94-15405423c204_Method">
    <vt:lpwstr>Standard</vt:lpwstr>
  </property>
  <property fmtid="{D5CDD505-2E9C-101B-9397-08002B2CF9AE}" pid="15" name="MSIP_Label_23f93e5f-d3c2-49a7-ba94-15405423c204_Name">
    <vt:lpwstr>SE Internal</vt:lpwstr>
  </property>
  <property fmtid="{D5CDD505-2E9C-101B-9397-08002B2CF9AE}" pid="16" name="MSIP_Label_23f93e5f-d3c2-49a7-ba94-15405423c204_SiteId">
    <vt:lpwstr>6e51e1ad-c54b-4b39-b598-0ffe9ae68fef</vt:lpwstr>
  </property>
  <property fmtid="{D5CDD505-2E9C-101B-9397-08002B2CF9AE}" pid="17" name="MSIP_Label_23f93e5f-d3c2-49a7-ba94-15405423c204_ActionId">
    <vt:lpwstr>07e5aa01-522c-4d77-be1b-9c8f81671a98</vt:lpwstr>
  </property>
  <property fmtid="{D5CDD505-2E9C-101B-9397-08002B2CF9AE}" pid="18" name="MSIP_Label_23f93e5f-d3c2-49a7-ba94-15405423c204_ContentBits">
    <vt:lpwstr>2</vt:lpwstr>
  </property>
</Properties>
</file>